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A3" w:rsidRPr="004D4E81" w:rsidRDefault="00753CA3" w:rsidP="00753CA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753CA3" w:rsidRPr="004D4E81" w:rsidTr="00F41AF7">
        <w:tc>
          <w:tcPr>
            <w:tcW w:w="2358" w:type="dxa"/>
            <w:gridSpan w:val="2"/>
          </w:tcPr>
          <w:p w:rsidR="00753CA3" w:rsidRPr="004D4E81" w:rsidRDefault="00753CA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753CA3" w:rsidRPr="004D4E81" w:rsidRDefault="00753CA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G.C.3.10.L1</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753CA3" w:rsidRPr="004D4E81" w:rsidRDefault="00753CA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SS.7.C.3.10</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L</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The Code of Hammurabi (1772 BC) includes laws focusing on contracts.  What type of U.S. law is based on the Code of Hammurabi?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constitutional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criminal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military </w:t>
            </w:r>
          </w:p>
        </w:tc>
      </w:tr>
    </w:tbl>
    <w:p w:rsidR="00753CA3" w:rsidRDefault="00753CA3" w:rsidP="00753CA3">
      <w:pPr>
        <w:spacing w:after="0" w:line="240" w:lineRule="auto"/>
        <w:contextualSpacing/>
        <w:rPr>
          <w:rFonts w:ascii="Times New Roman" w:hAnsi="Times New Roman" w:cs="Times New Roman"/>
          <w:sz w:val="24"/>
          <w:szCs w:val="24"/>
        </w:rPr>
      </w:pPr>
    </w:p>
    <w:tbl>
      <w:tblPr>
        <w:tblStyle w:val="TableGrid44"/>
        <w:tblW w:w="0" w:type="auto"/>
        <w:tblLook w:val="04A0" w:firstRow="1" w:lastRow="0" w:firstColumn="1" w:lastColumn="0" w:noHBand="0" w:noVBand="1"/>
      </w:tblPr>
      <w:tblGrid>
        <w:gridCol w:w="1179"/>
        <w:gridCol w:w="1179"/>
        <w:gridCol w:w="7218"/>
      </w:tblGrid>
      <w:tr w:rsidR="00753CA3" w:rsidRPr="00FF05FF" w:rsidTr="00F41AF7">
        <w:tc>
          <w:tcPr>
            <w:tcW w:w="2358" w:type="dxa"/>
            <w:gridSpan w:val="2"/>
            <w:tcBorders>
              <w:top w:val="single" w:sz="4" w:space="0" w:color="auto"/>
              <w:left w:val="single" w:sz="4" w:space="0" w:color="auto"/>
              <w:bottom w:val="single" w:sz="4" w:space="0" w:color="auto"/>
              <w:right w:val="single" w:sz="4" w:space="0" w:color="auto"/>
            </w:tcBorders>
          </w:tcPr>
          <w:p w:rsidR="00753CA3" w:rsidRPr="004D4E81" w:rsidRDefault="00753CA3"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753CA3" w:rsidRPr="004D4E81" w:rsidRDefault="00753CA3" w:rsidP="00F41AF7">
            <w:pPr>
              <w:tabs>
                <w:tab w:val="left" w:pos="1886"/>
              </w:tabs>
              <w:contextualSpacing/>
              <w:rPr>
                <w:rFonts w:ascii="Times New Roman" w:hAnsi="Times New Roman"/>
                <w:sz w:val="24"/>
                <w:szCs w:val="24"/>
              </w:rPr>
            </w:pPr>
            <w:r>
              <w:rPr>
                <w:rFonts w:ascii="Times New Roman" w:hAnsi="Times New Roman"/>
                <w:sz w:val="24"/>
                <w:szCs w:val="24"/>
              </w:rPr>
              <w:t>G.C.3.10.M1</w:t>
            </w:r>
          </w:p>
        </w:tc>
      </w:tr>
      <w:tr w:rsidR="00753CA3" w:rsidRPr="00FF05FF"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SS.7.C.3.10</w:t>
            </w:r>
          </w:p>
        </w:tc>
      </w:tr>
      <w:tr w:rsidR="00753CA3" w:rsidRPr="00FF05FF"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M</w:t>
            </w:r>
          </w:p>
        </w:tc>
      </w:tr>
      <w:tr w:rsidR="00753CA3" w:rsidRPr="00FF05FF"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 xml:space="preserve">The table below lists examples of laws.  </w:t>
            </w:r>
          </w:p>
          <w:p w:rsidR="00753CA3" w:rsidRPr="00FF05FF" w:rsidRDefault="00753CA3" w:rsidP="00F41AF7">
            <w:pPr>
              <w:contextualSpacing/>
              <w:rPr>
                <w:rFonts w:ascii="Times New Roman" w:hAnsi="Times New Roman"/>
                <w:sz w:val="24"/>
                <w:szCs w:val="24"/>
              </w:rPr>
            </w:pPr>
          </w:p>
          <w:tbl>
            <w:tblPr>
              <w:tblStyle w:val="TableGrid44"/>
              <w:tblW w:w="0" w:type="auto"/>
              <w:tblLook w:val="04A0" w:firstRow="1" w:lastRow="0" w:firstColumn="1" w:lastColumn="0" w:noHBand="0" w:noVBand="1"/>
            </w:tblPr>
            <w:tblGrid>
              <w:gridCol w:w="3493"/>
              <w:gridCol w:w="3494"/>
            </w:tblGrid>
            <w:tr w:rsidR="00753CA3" w:rsidRPr="00FF05FF" w:rsidTr="00F41AF7">
              <w:tc>
                <w:tcPr>
                  <w:tcW w:w="3493"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jc w:val="center"/>
                    <w:rPr>
                      <w:rFonts w:ascii="Times New Roman" w:hAnsi="Times New Roman"/>
                    </w:rPr>
                  </w:pPr>
                  <w:r w:rsidRPr="00FF05FF">
                    <w:rPr>
                      <w:rFonts w:ascii="Times New Roman" w:hAnsi="Times New Roman"/>
                      <w:b/>
                    </w:rPr>
                    <w:t>Category A</w:t>
                  </w:r>
                </w:p>
                <w:p w:rsidR="00753CA3" w:rsidRPr="00FF05FF" w:rsidRDefault="00753CA3" w:rsidP="00F41AF7">
                  <w:pPr>
                    <w:contextualSpacing/>
                    <w:rPr>
                      <w:rFonts w:ascii="Times New Roman" w:hAnsi="Times New Roman"/>
                    </w:rPr>
                  </w:pPr>
                </w:p>
                <w:p w:rsidR="00753CA3" w:rsidRPr="00FF05FF" w:rsidRDefault="00753CA3" w:rsidP="00F41AF7">
                  <w:pPr>
                    <w:contextualSpacing/>
                    <w:rPr>
                      <w:rFonts w:ascii="Times New Roman" w:hAnsi="Times New Roman"/>
                    </w:rPr>
                  </w:pPr>
                  <w:r w:rsidRPr="00FF05FF">
                    <w:rPr>
                      <w:rFonts w:ascii="Times New Roman" w:hAnsi="Times New Roman"/>
                    </w:rPr>
                    <w:t>Assault</w:t>
                  </w:r>
                </w:p>
                <w:p w:rsidR="00753CA3" w:rsidRPr="00FF05FF" w:rsidRDefault="00753CA3" w:rsidP="00F41AF7">
                  <w:pPr>
                    <w:contextualSpacing/>
                    <w:rPr>
                      <w:rFonts w:ascii="Times New Roman" w:hAnsi="Times New Roman"/>
                    </w:rPr>
                  </w:pPr>
                  <w:r w:rsidRPr="00FF05FF">
                    <w:rPr>
                      <w:rFonts w:ascii="Times New Roman" w:hAnsi="Times New Roman"/>
                    </w:rPr>
                    <w:t xml:space="preserve">Murder </w:t>
                  </w:r>
                </w:p>
                <w:p w:rsidR="00753CA3" w:rsidRPr="00FF05FF" w:rsidRDefault="00753CA3" w:rsidP="00F41AF7">
                  <w:pPr>
                    <w:contextualSpacing/>
                    <w:rPr>
                      <w:rFonts w:ascii="Times New Roman" w:hAnsi="Times New Roman"/>
                    </w:rPr>
                  </w:pPr>
                  <w:r w:rsidRPr="00FF05FF">
                    <w:rPr>
                      <w:rFonts w:ascii="Times New Roman" w:hAnsi="Times New Roman"/>
                    </w:rPr>
                    <w:t xml:space="preserve">Theft </w:t>
                  </w:r>
                </w:p>
              </w:tc>
              <w:tc>
                <w:tcPr>
                  <w:tcW w:w="3494"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jc w:val="center"/>
                    <w:rPr>
                      <w:rFonts w:ascii="Times New Roman" w:hAnsi="Times New Roman"/>
                      <w:b/>
                      <w:sz w:val="24"/>
                      <w:szCs w:val="24"/>
                    </w:rPr>
                  </w:pPr>
                  <w:r w:rsidRPr="00FF05FF">
                    <w:rPr>
                      <w:rFonts w:ascii="Times New Roman" w:hAnsi="Times New Roman"/>
                      <w:b/>
                      <w:sz w:val="24"/>
                      <w:szCs w:val="24"/>
                    </w:rPr>
                    <w:t>Category B</w:t>
                  </w:r>
                </w:p>
                <w:p w:rsidR="00753CA3" w:rsidRPr="00FF05FF" w:rsidRDefault="00753CA3" w:rsidP="00F41AF7">
                  <w:pPr>
                    <w:contextualSpacing/>
                    <w:rPr>
                      <w:rFonts w:ascii="Times New Roman" w:hAnsi="Times New Roman"/>
                      <w:b/>
                      <w:sz w:val="24"/>
                      <w:szCs w:val="24"/>
                    </w:rPr>
                  </w:pPr>
                </w:p>
                <w:p w:rsidR="00753CA3" w:rsidRPr="00FF05FF" w:rsidRDefault="00753CA3" w:rsidP="00F41AF7">
                  <w:pPr>
                    <w:contextualSpacing/>
                    <w:rPr>
                      <w:rFonts w:ascii="Times New Roman" w:hAnsi="Times New Roman"/>
                    </w:rPr>
                  </w:pPr>
                  <w:r w:rsidRPr="00FF05FF">
                    <w:rPr>
                      <w:rFonts w:ascii="Times New Roman" w:hAnsi="Times New Roman"/>
                    </w:rPr>
                    <w:t xml:space="preserve">Adoption </w:t>
                  </w:r>
                </w:p>
                <w:p w:rsidR="00753CA3" w:rsidRPr="00FF05FF" w:rsidRDefault="00753CA3" w:rsidP="00F41AF7">
                  <w:pPr>
                    <w:contextualSpacing/>
                    <w:rPr>
                      <w:rFonts w:ascii="Times New Roman" w:hAnsi="Times New Roman"/>
                    </w:rPr>
                  </w:pPr>
                  <w:r w:rsidRPr="00FF05FF">
                    <w:rPr>
                      <w:rFonts w:ascii="Times New Roman" w:hAnsi="Times New Roman"/>
                    </w:rPr>
                    <w:t>Contract Disputes</w:t>
                  </w:r>
                </w:p>
                <w:p w:rsidR="00753CA3" w:rsidRPr="00FF05FF" w:rsidRDefault="00753CA3" w:rsidP="00F41AF7">
                  <w:pPr>
                    <w:contextualSpacing/>
                    <w:rPr>
                      <w:rFonts w:ascii="Times New Roman" w:hAnsi="Times New Roman"/>
                    </w:rPr>
                  </w:pPr>
                  <w:r w:rsidRPr="00FF05FF">
                    <w:rPr>
                      <w:rFonts w:ascii="Times New Roman" w:hAnsi="Times New Roman"/>
                    </w:rPr>
                    <w:t xml:space="preserve">Personal Injury </w:t>
                  </w:r>
                </w:p>
              </w:tc>
            </w:tr>
            <w:tr w:rsidR="00753CA3" w:rsidRPr="00FF05FF" w:rsidTr="00F41AF7">
              <w:trPr>
                <w:trHeight w:val="215"/>
              </w:trPr>
              <w:tc>
                <w:tcPr>
                  <w:tcW w:w="3493"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jc w:val="center"/>
                    <w:rPr>
                      <w:rFonts w:ascii="Times New Roman" w:hAnsi="Times New Roman"/>
                      <w:b/>
                      <w:sz w:val="24"/>
                      <w:szCs w:val="24"/>
                    </w:rPr>
                  </w:pPr>
                  <w:r w:rsidRPr="00FF05FF">
                    <w:rPr>
                      <w:rFonts w:ascii="Times New Roman" w:hAnsi="Times New Roman"/>
                      <w:b/>
                      <w:sz w:val="24"/>
                      <w:szCs w:val="24"/>
                    </w:rPr>
                    <w:t>Category C</w:t>
                  </w:r>
                </w:p>
                <w:p w:rsidR="00753CA3" w:rsidRPr="00FF05FF" w:rsidRDefault="00753CA3" w:rsidP="00F41AF7">
                  <w:pPr>
                    <w:contextualSpacing/>
                    <w:jc w:val="center"/>
                    <w:rPr>
                      <w:rFonts w:ascii="Times New Roman" w:hAnsi="Times New Roman"/>
                      <w:b/>
                      <w:sz w:val="24"/>
                      <w:szCs w:val="24"/>
                    </w:rPr>
                  </w:pPr>
                </w:p>
                <w:p w:rsidR="00753CA3" w:rsidRPr="00FF05FF" w:rsidRDefault="00753CA3" w:rsidP="00F41AF7">
                  <w:pPr>
                    <w:contextualSpacing/>
                    <w:rPr>
                      <w:rFonts w:ascii="Times New Roman" w:hAnsi="Times New Roman"/>
                    </w:rPr>
                  </w:pPr>
                  <w:r w:rsidRPr="00FF05FF">
                    <w:rPr>
                      <w:rFonts w:ascii="Times New Roman" w:hAnsi="Times New Roman"/>
                    </w:rPr>
                    <w:t>Abandonment of post</w:t>
                  </w:r>
                </w:p>
                <w:p w:rsidR="00753CA3" w:rsidRPr="00FF05FF" w:rsidRDefault="00753CA3" w:rsidP="00F41AF7">
                  <w:pPr>
                    <w:contextualSpacing/>
                    <w:rPr>
                      <w:rFonts w:ascii="Times New Roman" w:hAnsi="Times New Roman"/>
                    </w:rPr>
                  </w:pPr>
                  <w:r w:rsidRPr="00FF05FF">
                    <w:rPr>
                      <w:rFonts w:ascii="Times New Roman" w:hAnsi="Times New Roman"/>
                    </w:rPr>
                    <w:t xml:space="preserve">Conduct unbecoming of an officer </w:t>
                  </w:r>
                </w:p>
                <w:p w:rsidR="00753CA3" w:rsidRPr="00FF05FF" w:rsidRDefault="00753CA3" w:rsidP="00F41AF7">
                  <w:pPr>
                    <w:contextualSpacing/>
                    <w:rPr>
                      <w:rFonts w:ascii="Times New Roman" w:hAnsi="Times New Roman"/>
                      <w:sz w:val="24"/>
                      <w:szCs w:val="24"/>
                    </w:rPr>
                  </w:pPr>
                  <w:r w:rsidRPr="00FF05FF">
                    <w:rPr>
                      <w:rFonts w:ascii="Times New Roman" w:hAnsi="Times New Roman"/>
                    </w:rPr>
                    <w:t>Mutiny</w:t>
                  </w:r>
                  <w:r w:rsidRPr="00FF05FF">
                    <w:rPr>
                      <w:rFonts w:ascii="Times New Roman" w:hAnsi="Times New Roman"/>
                      <w:sz w:val="24"/>
                      <w:szCs w:val="24"/>
                    </w:rPr>
                    <w:t xml:space="preserve"> </w:t>
                  </w:r>
                </w:p>
              </w:tc>
              <w:tc>
                <w:tcPr>
                  <w:tcW w:w="3494"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jc w:val="center"/>
                    <w:rPr>
                      <w:rFonts w:ascii="Times New Roman" w:hAnsi="Times New Roman"/>
                      <w:b/>
                      <w:sz w:val="24"/>
                      <w:szCs w:val="24"/>
                    </w:rPr>
                  </w:pPr>
                  <w:r w:rsidRPr="00FF05FF">
                    <w:rPr>
                      <w:rFonts w:ascii="Times New Roman" w:hAnsi="Times New Roman"/>
                      <w:b/>
                      <w:sz w:val="24"/>
                      <w:szCs w:val="24"/>
                    </w:rPr>
                    <w:t>Category D</w:t>
                  </w:r>
                </w:p>
                <w:p w:rsidR="00753CA3" w:rsidRPr="00FF05FF" w:rsidRDefault="00753CA3" w:rsidP="00F41AF7">
                  <w:pPr>
                    <w:contextualSpacing/>
                    <w:jc w:val="center"/>
                    <w:rPr>
                      <w:rFonts w:ascii="Times New Roman" w:hAnsi="Times New Roman"/>
                      <w:b/>
                      <w:sz w:val="24"/>
                      <w:szCs w:val="24"/>
                    </w:rPr>
                  </w:pPr>
                </w:p>
                <w:p w:rsidR="00753CA3" w:rsidRPr="00FF05FF" w:rsidRDefault="00753CA3" w:rsidP="00F41AF7">
                  <w:pPr>
                    <w:contextualSpacing/>
                    <w:rPr>
                      <w:rFonts w:ascii="Times New Roman" w:hAnsi="Times New Roman"/>
                    </w:rPr>
                  </w:pPr>
                  <w:r w:rsidRPr="00FF05FF">
                    <w:rPr>
                      <w:rFonts w:ascii="Times New Roman" w:hAnsi="Times New Roman"/>
                    </w:rPr>
                    <w:t>Discrimination</w:t>
                  </w:r>
                </w:p>
                <w:p w:rsidR="00753CA3" w:rsidRPr="00FF05FF" w:rsidRDefault="00753CA3" w:rsidP="00F41AF7">
                  <w:pPr>
                    <w:contextualSpacing/>
                    <w:rPr>
                      <w:rFonts w:ascii="Times New Roman" w:hAnsi="Times New Roman"/>
                    </w:rPr>
                  </w:pPr>
                  <w:r w:rsidRPr="00FF05FF">
                    <w:rPr>
                      <w:rFonts w:ascii="Times New Roman" w:hAnsi="Times New Roman"/>
                    </w:rPr>
                    <w:t>Eminent domain</w:t>
                  </w:r>
                </w:p>
                <w:p w:rsidR="00753CA3" w:rsidRPr="00FF05FF" w:rsidRDefault="00753CA3" w:rsidP="00F41AF7">
                  <w:pPr>
                    <w:contextualSpacing/>
                    <w:rPr>
                      <w:rFonts w:ascii="Times New Roman" w:hAnsi="Times New Roman"/>
                      <w:sz w:val="24"/>
                      <w:szCs w:val="24"/>
                    </w:rPr>
                  </w:pPr>
                  <w:r w:rsidRPr="00FF05FF">
                    <w:rPr>
                      <w:rFonts w:ascii="Times New Roman" w:hAnsi="Times New Roman"/>
                    </w:rPr>
                    <w:t>Treason</w:t>
                  </w:r>
                  <w:r w:rsidRPr="00FF05FF">
                    <w:rPr>
                      <w:rFonts w:ascii="Times New Roman" w:hAnsi="Times New Roman"/>
                      <w:sz w:val="24"/>
                      <w:szCs w:val="24"/>
                    </w:rPr>
                    <w:t xml:space="preserve"> </w:t>
                  </w:r>
                </w:p>
              </w:tc>
            </w:tr>
          </w:tbl>
          <w:p w:rsidR="00753CA3" w:rsidRPr="00FF05FF" w:rsidRDefault="00753CA3" w:rsidP="00F41AF7">
            <w:pPr>
              <w:contextualSpacing/>
              <w:rPr>
                <w:rFonts w:ascii="Times New Roman" w:hAnsi="Times New Roman"/>
                <w:sz w:val="24"/>
                <w:szCs w:val="24"/>
              </w:rPr>
            </w:pPr>
          </w:p>
          <w:p w:rsidR="00753CA3" w:rsidRPr="00FF05FF" w:rsidRDefault="00753CA3" w:rsidP="00F41AF7">
            <w:pPr>
              <w:contextualSpacing/>
              <w:rPr>
                <w:rFonts w:ascii="Times New Roman" w:hAnsi="Times New Roman"/>
                <w:sz w:val="24"/>
                <w:szCs w:val="24"/>
              </w:rPr>
            </w:pPr>
            <w:r>
              <w:rPr>
                <w:rFonts w:ascii="Times New Roman" w:hAnsi="Times New Roman"/>
                <w:sz w:val="24"/>
                <w:szCs w:val="24"/>
              </w:rPr>
              <w:t xml:space="preserve">Which list </w:t>
            </w:r>
            <w:r w:rsidRPr="00FF05FF">
              <w:rPr>
                <w:rFonts w:ascii="Times New Roman" w:hAnsi="Times New Roman"/>
                <w:sz w:val="24"/>
                <w:szCs w:val="24"/>
              </w:rPr>
              <w:t>represents military law?</w:t>
            </w:r>
          </w:p>
        </w:tc>
      </w:tr>
      <w:tr w:rsidR="00753CA3" w:rsidRPr="00FF05FF"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Category A</w:t>
            </w:r>
          </w:p>
        </w:tc>
      </w:tr>
      <w:tr w:rsidR="00753CA3" w:rsidRPr="00FF05FF"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Category B</w:t>
            </w:r>
          </w:p>
        </w:tc>
      </w:tr>
      <w:tr w:rsidR="00753CA3" w:rsidRPr="00FF05FF"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w:t>
            </w: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Category C</w:t>
            </w:r>
          </w:p>
        </w:tc>
      </w:tr>
      <w:tr w:rsidR="00753CA3" w:rsidRPr="00FF05FF"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Category D</w:t>
            </w:r>
          </w:p>
        </w:tc>
      </w:tr>
    </w:tbl>
    <w:p w:rsidR="00753CA3" w:rsidRDefault="00753CA3" w:rsidP="00753CA3">
      <w:pPr>
        <w:spacing w:after="0" w:line="240" w:lineRule="auto"/>
        <w:contextualSpacing/>
        <w:rPr>
          <w:rFonts w:ascii="Times New Roman" w:hAnsi="Times New Roman" w:cs="Times New Roman"/>
          <w:sz w:val="24"/>
          <w:szCs w:val="24"/>
        </w:rPr>
      </w:pPr>
    </w:p>
    <w:tbl>
      <w:tblPr>
        <w:tblStyle w:val="TableGrid101"/>
        <w:tblW w:w="0" w:type="auto"/>
        <w:tblLook w:val="04A0" w:firstRow="1" w:lastRow="0" w:firstColumn="1" w:lastColumn="0" w:noHBand="0" w:noVBand="1"/>
      </w:tblPr>
      <w:tblGrid>
        <w:gridCol w:w="1179"/>
        <w:gridCol w:w="1179"/>
        <w:gridCol w:w="7218"/>
      </w:tblGrid>
      <w:tr w:rsidR="00753CA3" w:rsidRPr="001F0CC8" w:rsidTr="00F41AF7">
        <w:tc>
          <w:tcPr>
            <w:tcW w:w="2358" w:type="dxa"/>
            <w:gridSpan w:val="2"/>
            <w:tcBorders>
              <w:top w:val="single" w:sz="4" w:space="0" w:color="auto"/>
              <w:left w:val="single" w:sz="4" w:space="0" w:color="auto"/>
              <w:bottom w:val="single" w:sz="4" w:space="0" w:color="auto"/>
              <w:right w:val="single" w:sz="4" w:space="0" w:color="auto"/>
            </w:tcBorders>
          </w:tcPr>
          <w:p w:rsidR="00753CA3" w:rsidRPr="004D4E81" w:rsidRDefault="00753CA3"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753CA3" w:rsidRPr="004D4E81" w:rsidRDefault="00753CA3" w:rsidP="00F41AF7">
            <w:pPr>
              <w:tabs>
                <w:tab w:val="left" w:pos="1886"/>
              </w:tabs>
              <w:contextualSpacing/>
              <w:rPr>
                <w:rFonts w:ascii="Times New Roman" w:hAnsi="Times New Roman"/>
                <w:sz w:val="24"/>
                <w:szCs w:val="24"/>
              </w:rPr>
            </w:pPr>
            <w:r>
              <w:rPr>
                <w:rFonts w:ascii="Times New Roman" w:hAnsi="Times New Roman"/>
                <w:sz w:val="24"/>
                <w:szCs w:val="24"/>
              </w:rPr>
              <w:t>G.C.3.10.M2</w:t>
            </w:r>
          </w:p>
        </w:tc>
      </w:tr>
      <w:tr w:rsidR="00753CA3" w:rsidRPr="001F0CC8"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 xml:space="preserve">SS.7.C.3.10 </w:t>
            </w:r>
          </w:p>
        </w:tc>
      </w:tr>
      <w:tr w:rsidR="00753CA3" w:rsidRPr="001F0CC8"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M</w:t>
            </w:r>
          </w:p>
        </w:tc>
      </w:tr>
      <w:tr w:rsidR="00753CA3" w:rsidRPr="001F0CC8"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 xml:space="preserve">Which situation would </w:t>
            </w:r>
            <w:r w:rsidRPr="001F0CC8">
              <w:rPr>
                <w:rFonts w:ascii="Times New Roman" w:hAnsi="Times New Roman"/>
                <w:b/>
                <w:sz w:val="24"/>
                <w:szCs w:val="24"/>
              </w:rPr>
              <w:t>most likely</w:t>
            </w:r>
            <w:r w:rsidRPr="001F0CC8">
              <w:rPr>
                <w:rFonts w:ascii="Times New Roman" w:hAnsi="Times New Roman"/>
                <w:sz w:val="24"/>
                <w:szCs w:val="24"/>
              </w:rPr>
              <w:t xml:space="preserve"> lead to a civil case?</w:t>
            </w:r>
          </w:p>
        </w:tc>
      </w:tr>
      <w:tr w:rsidR="00753CA3" w:rsidRPr="001F0CC8"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753CA3" w:rsidRPr="001F0CC8"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A person robs another person at gunpoint.</w:t>
            </w:r>
          </w:p>
        </w:tc>
      </w:tr>
      <w:tr w:rsidR="00753CA3" w:rsidRPr="001F0CC8"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753CA3" w:rsidRPr="001F0CC8"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A person is caught breaking into a house.</w:t>
            </w:r>
          </w:p>
        </w:tc>
      </w:tr>
      <w:tr w:rsidR="00753CA3" w:rsidRPr="001F0CC8"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w:t>
            </w: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A person breaks a leg at a friend’s house.</w:t>
            </w:r>
          </w:p>
        </w:tc>
      </w:tr>
      <w:tr w:rsidR="00753CA3" w:rsidRPr="001F0CC8"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753CA3" w:rsidRPr="001F0CC8"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A person fails to stop at a red light.</w:t>
            </w:r>
          </w:p>
        </w:tc>
      </w:tr>
    </w:tbl>
    <w:p w:rsidR="00753CA3" w:rsidRPr="004D4E81" w:rsidRDefault="00753CA3" w:rsidP="00753CA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753CA3" w:rsidRPr="004D4E81" w:rsidTr="00F41AF7">
        <w:tc>
          <w:tcPr>
            <w:tcW w:w="2358" w:type="dxa"/>
            <w:gridSpan w:val="2"/>
          </w:tcPr>
          <w:p w:rsidR="00753CA3" w:rsidRPr="004D4E81" w:rsidRDefault="00753CA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753CA3" w:rsidRPr="004D4E81" w:rsidRDefault="00753CA3" w:rsidP="00F41AF7">
            <w:pPr>
              <w:tabs>
                <w:tab w:val="left" w:pos="1886"/>
              </w:tabs>
              <w:contextualSpacing/>
              <w:rPr>
                <w:rFonts w:ascii="Times New Roman" w:hAnsi="Times New Roman" w:cs="Times New Roman"/>
                <w:sz w:val="24"/>
                <w:szCs w:val="24"/>
              </w:rPr>
            </w:pPr>
            <w:r>
              <w:rPr>
                <w:rFonts w:ascii="Times New Roman" w:hAnsi="Times New Roman"/>
                <w:sz w:val="24"/>
                <w:szCs w:val="24"/>
              </w:rPr>
              <w:t>G.C.3.10.M</w:t>
            </w:r>
            <w:r>
              <w:rPr>
                <w:rFonts w:ascii="Times New Roman" w:hAnsi="Times New Roman" w:cs="Times New Roman"/>
                <w:sz w:val="24"/>
                <w:szCs w:val="24"/>
              </w:rPr>
              <w:t>3</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753CA3" w:rsidRPr="004D4E81" w:rsidRDefault="00753CA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SS.7.C.3.10</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The graph below illustrates juvenile arrest rates for motor vehicle theft.  </w:t>
            </w:r>
          </w:p>
          <w:p w:rsidR="00753CA3" w:rsidRPr="004D4E81" w:rsidRDefault="00753CA3" w:rsidP="00F41AF7">
            <w:pPr>
              <w:shd w:val="clear" w:color="auto" w:fill="FFFFFF"/>
              <w:spacing w:before="100" w:beforeAutospacing="1" w:after="100" w:afterAutospacing="1"/>
              <w:rPr>
                <w:rFonts w:ascii="Arial" w:eastAsia="Times New Roman" w:hAnsi="Arial" w:cs="Arial"/>
                <w:b/>
                <w:bCs/>
                <w:color w:val="000000"/>
                <w:sz w:val="18"/>
                <w:szCs w:val="18"/>
              </w:rPr>
            </w:pPr>
            <w:r w:rsidRPr="004D4E81">
              <w:rPr>
                <w:rFonts w:ascii="Times New Roman" w:eastAsia="Times New Roman" w:hAnsi="Times New Roman" w:cs="Times New Roman"/>
                <w:noProof/>
                <w:sz w:val="24"/>
                <w:szCs w:val="24"/>
              </w:rPr>
              <w:lastRenderedPageBreak/>
              <w:drawing>
                <wp:inline distT="0" distB="0" distL="0" distR="0" wp14:anchorId="48300276" wp14:editId="74DB4CAB">
                  <wp:extent cx="4340431" cy="2410691"/>
                  <wp:effectExtent l="0" t="0" r="22225"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53CA3" w:rsidRPr="004D4E81" w:rsidRDefault="00753CA3" w:rsidP="00F41AF7">
            <w:pPr>
              <w:tabs>
                <w:tab w:val="center" w:pos="3501"/>
              </w:tabs>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Adapted from the U.S. Department of Justice  </w:t>
            </w:r>
          </w:p>
          <w:p w:rsidR="00753CA3" w:rsidRPr="004D4E81" w:rsidRDefault="00753CA3" w:rsidP="00F41AF7">
            <w:pPr>
              <w:tabs>
                <w:tab w:val="center" w:pos="3501"/>
              </w:tabs>
              <w:contextualSpacing/>
              <w:rPr>
                <w:rFonts w:ascii="Times New Roman" w:hAnsi="Times New Roman" w:cs="Times New Roman"/>
                <w:sz w:val="24"/>
                <w:szCs w:val="24"/>
              </w:rPr>
            </w:pPr>
          </w:p>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type of law is illustrated the graph?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lastRenderedPageBreak/>
              <w:t>A</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constitutional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criminal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military    </w:t>
            </w:r>
          </w:p>
        </w:tc>
      </w:tr>
    </w:tbl>
    <w:p w:rsidR="00753CA3" w:rsidRPr="004D4E81" w:rsidRDefault="00753CA3" w:rsidP="00753CA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753CA3" w:rsidRPr="004D4E81" w:rsidTr="00F41AF7">
        <w:tc>
          <w:tcPr>
            <w:tcW w:w="2358" w:type="dxa"/>
            <w:gridSpan w:val="2"/>
          </w:tcPr>
          <w:p w:rsidR="00753CA3" w:rsidRPr="004D4E81" w:rsidRDefault="00753CA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753CA3" w:rsidRPr="004D4E81" w:rsidRDefault="00753CA3" w:rsidP="00F41AF7">
            <w:pPr>
              <w:tabs>
                <w:tab w:val="left" w:pos="1886"/>
              </w:tabs>
              <w:contextualSpacing/>
              <w:rPr>
                <w:rFonts w:ascii="Times New Roman" w:hAnsi="Times New Roman" w:cs="Times New Roman"/>
                <w:sz w:val="24"/>
                <w:szCs w:val="24"/>
              </w:rPr>
            </w:pPr>
            <w:r>
              <w:rPr>
                <w:rFonts w:ascii="Times New Roman" w:hAnsi="Times New Roman"/>
                <w:sz w:val="24"/>
                <w:szCs w:val="24"/>
              </w:rPr>
              <w:t>G.C.3.10.H</w:t>
            </w:r>
            <w:bookmarkStart w:id="0" w:name="_GoBack"/>
            <w:bookmarkEnd w:id="0"/>
            <w:r>
              <w:rPr>
                <w:rFonts w:ascii="Times New Roman" w:hAnsi="Times New Roman" w:cs="Times New Roman"/>
                <w:sz w:val="24"/>
                <w:szCs w:val="24"/>
              </w:rPr>
              <w:t>1</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753CA3" w:rsidRPr="004D4E81" w:rsidRDefault="00753CA3" w:rsidP="00F41AF7">
            <w:pPr>
              <w:tabs>
                <w:tab w:val="left" w:pos="1886"/>
              </w:tabs>
              <w:spacing w:after="200"/>
              <w:contextualSpacing/>
              <w:rPr>
                <w:rFonts w:ascii="Times New Roman" w:hAnsi="Times New Roman" w:cs="Times New Roman"/>
                <w:b/>
                <w:sz w:val="24"/>
                <w:szCs w:val="24"/>
              </w:rPr>
            </w:pPr>
            <w:r w:rsidRPr="004D4E81">
              <w:rPr>
                <w:rFonts w:ascii="Times New Roman" w:hAnsi="Times New Roman" w:cs="Times New Roman"/>
                <w:sz w:val="24"/>
                <w:szCs w:val="24"/>
              </w:rPr>
              <w:t>SS.7.C.3.10</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The passage below is from a U.S. Supreme Court opinion announcement.</w:t>
            </w:r>
          </w:p>
          <w:p w:rsidR="00753CA3" w:rsidRPr="004D4E81" w:rsidRDefault="00753CA3" w:rsidP="00F41AF7">
            <w:pPr>
              <w:tabs>
                <w:tab w:val="center" w:pos="3501"/>
              </w:tabs>
              <w:contextualSpacing/>
              <w:rPr>
                <w:rFonts w:ascii="Times New Roman" w:hAnsi="Times New Roman" w:cs="Times New Roman"/>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r w:rsidRPr="004D4E81">
              <w:rPr>
                <w:rFonts w:ascii="Times New Roman" w:eastAsia="Times New Roman" w:hAnsi="Times New Roman" w:cs="Times New Roman"/>
                <w:noProof/>
                <w:color w:val="303030"/>
                <w:sz w:val="24"/>
                <w:szCs w:val="24"/>
              </w:rPr>
              <mc:AlternateContent>
                <mc:Choice Requires="wps">
                  <w:drawing>
                    <wp:anchor distT="0" distB="0" distL="114300" distR="114300" simplePos="0" relativeHeight="251661312" behindDoc="0" locked="0" layoutInCell="1" allowOverlap="1" wp14:anchorId="340B2825" wp14:editId="2B0FDEBF">
                      <wp:simplePos x="0" y="0"/>
                      <wp:positionH relativeFrom="column">
                        <wp:align>center</wp:align>
                      </wp:positionH>
                      <wp:positionV relativeFrom="paragraph">
                        <wp:posOffset>0</wp:posOffset>
                      </wp:positionV>
                      <wp:extent cx="2374265" cy="1403985"/>
                      <wp:effectExtent l="0" t="0" r="3175" b="571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53CA3" w:rsidRPr="009E3BC1" w:rsidRDefault="00753CA3" w:rsidP="00753CA3">
                                  <w:pPr>
                                    <w:spacing w:after="0" w:line="240" w:lineRule="auto"/>
                                    <w:contextualSpacing/>
                                    <w:rPr>
                                      <w:rFonts w:ascii="Times New Roman" w:hAnsi="Times New Roman" w:cs="Times New Roman"/>
                                      <w:sz w:val="24"/>
                                    </w:rPr>
                                  </w:pPr>
                                  <w:r>
                                    <w:rPr>
                                      <w:rFonts w:ascii="Times New Roman" w:hAnsi="Times New Roman" w:cs="Times New Roman"/>
                                      <w:sz w:val="24"/>
                                    </w:rPr>
                                    <w:t>I</w:t>
                                  </w:r>
                                  <w:r w:rsidRPr="009E3BC1">
                                    <w:rPr>
                                      <w:rFonts w:ascii="Times New Roman" w:hAnsi="Times New Roman" w:cs="Times New Roman"/>
                                      <w:sz w:val="24"/>
                                    </w:rPr>
                                    <w:t>n 1989 the court held in Stanford versus Kentucky that the Constitution allows states to impose the death penalty on an offender who is 16 or 17 years old when he committed the crime.</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In the interpretation of its terms we have established …the necessity of …standards of decency that mark the progress of a maturing society.</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Eighth and Fourteenth Amendments forbid imposition of the death penalty on offenders who are under the age of 18 when their crimes were committed.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A/JAIAAEY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">
                      <v:textbox style="mso-fit-shape-to-text:t">
                        <w:txbxContent>
                          <w:p w:rsidR="00753CA3" w:rsidRPr="009E3BC1" w:rsidRDefault="00753CA3" w:rsidP="00753CA3">
                            <w:pPr>
                              <w:spacing w:after="0" w:line="240" w:lineRule="auto"/>
                              <w:contextualSpacing/>
                              <w:rPr>
                                <w:rFonts w:ascii="Times New Roman" w:hAnsi="Times New Roman" w:cs="Times New Roman"/>
                                <w:sz w:val="24"/>
                              </w:rPr>
                            </w:pPr>
                            <w:r>
                              <w:rPr>
                                <w:rFonts w:ascii="Times New Roman" w:hAnsi="Times New Roman" w:cs="Times New Roman"/>
                                <w:sz w:val="24"/>
                              </w:rPr>
                              <w:t>I</w:t>
                            </w:r>
                            <w:r w:rsidRPr="009E3BC1">
                              <w:rPr>
                                <w:rFonts w:ascii="Times New Roman" w:hAnsi="Times New Roman" w:cs="Times New Roman"/>
                                <w:sz w:val="24"/>
                              </w:rPr>
                              <w:t>n 1989 the court held in Stanford versus Kentucky that the Constitution allows states to impose the death penalty on an offender who is 16 or 17 years old when he committed the crime.</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In the interpretation of its terms we have established …the necessity of …standards of decency that mark the progress of a maturing society.</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Eighth and Fourteenth Amendments forbid imposition of the death penalty on offenders who are under the age of 18 when their crimes were committed.</w:t>
                            </w:r>
                          </w:p>
                        </w:txbxContent>
                      </v:textbox>
                    </v:shape>
                  </w:pict>
                </mc:Fallback>
              </mc:AlternateContent>
            </w: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r w:rsidRPr="004D4E81">
              <w:rPr>
                <w:rFonts w:ascii="Times New Roman" w:eastAsia="Times New Roman" w:hAnsi="Times New Roman" w:cs="Times New Roman"/>
                <w:color w:val="303030"/>
                <w:sz w:val="20"/>
                <w:szCs w:val="20"/>
              </w:rPr>
              <w:t xml:space="preserve">Source:  </w:t>
            </w:r>
            <w:r w:rsidRPr="004D4E81">
              <w:rPr>
                <w:rFonts w:ascii="Times New Roman" w:eastAsia="Times New Roman" w:hAnsi="Times New Roman" w:cs="Times New Roman"/>
                <w:i/>
                <w:color w:val="303030"/>
                <w:sz w:val="20"/>
                <w:szCs w:val="20"/>
              </w:rPr>
              <w:t>Roper</w:t>
            </w:r>
            <w:r w:rsidRPr="004D4E81">
              <w:rPr>
                <w:rFonts w:ascii="Times New Roman" w:eastAsia="Times New Roman" w:hAnsi="Times New Roman" w:cs="Times New Roman"/>
                <w:color w:val="303030"/>
                <w:sz w:val="20"/>
                <w:szCs w:val="20"/>
              </w:rPr>
              <w:t xml:space="preserve"> v. </w:t>
            </w:r>
            <w:r w:rsidRPr="004D4E81">
              <w:rPr>
                <w:rFonts w:ascii="Times New Roman" w:eastAsia="Times New Roman" w:hAnsi="Times New Roman" w:cs="Times New Roman"/>
                <w:i/>
                <w:color w:val="303030"/>
                <w:sz w:val="20"/>
                <w:szCs w:val="20"/>
              </w:rPr>
              <w:t>Simmons</w:t>
            </w:r>
            <w:r w:rsidRPr="004D4E81">
              <w:rPr>
                <w:rFonts w:ascii="Times New Roman" w:eastAsia="Times New Roman" w:hAnsi="Times New Roman" w:cs="Times New Roman"/>
                <w:color w:val="303030"/>
                <w:sz w:val="20"/>
                <w:szCs w:val="20"/>
              </w:rPr>
              <w:t xml:space="preserve">  (2005)</w:t>
            </w: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According to the passage, which action did the U.S. Supreme Court find constitutional?</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lastRenderedPageBreak/>
              <w:t>A</w:t>
            </w:r>
          </w:p>
        </w:tc>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only on adults.</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only on juveniles.</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 both adults and juveniles.</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 neither adults nor juveniles.</w:t>
            </w:r>
          </w:p>
        </w:tc>
      </w:tr>
    </w:tbl>
    <w:p w:rsidR="00753CA3" w:rsidRPr="00753CA3" w:rsidRDefault="00753CA3">
      <w:pPr>
        <w:rPr>
          <w:rFonts w:ascii="Times New Roman" w:hAnsi="Times New Roman" w:cs="Times New Roman"/>
          <w:sz w:val="24"/>
          <w:szCs w:val="24"/>
        </w:rPr>
      </w:pPr>
    </w:p>
    <w:sectPr w:rsidR="00753CA3" w:rsidRPr="0075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A3"/>
    <w:rsid w:val="003461E5"/>
    <w:rsid w:val="0075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Arrests per 100,000 Juveniles Ages10-17 1980-2010</a:t>
            </a:r>
          </a:p>
        </c:rich>
      </c:tx>
      <c:layout/>
      <c:overlay val="0"/>
    </c:title>
    <c:autoTitleDeleted val="0"/>
    <c:plotArea>
      <c:layout/>
      <c:lineChart>
        <c:grouping val="standard"/>
        <c:varyColors val="0"/>
        <c:ser>
          <c:idx val="0"/>
          <c:order val="0"/>
          <c:tx>
            <c:strRef>
              <c:f>Sheet1!$B$1</c:f>
              <c:strCache>
                <c:ptCount val="1"/>
                <c:pt idx="0">
                  <c:v>Arrests per 100,000 juveniles ages 10-17, 1980-2010</c:v>
                </c:pt>
              </c:strCache>
            </c:strRef>
          </c:tx>
          <c:marker>
            <c:symbol val="none"/>
          </c:marker>
          <c:cat>
            <c:numRef>
              <c:f>Sheet1!$A$2:$A$32</c:f>
              <c:numCache>
                <c:formatCode>General</c:formatCode>
                <c:ptCount val="3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numCache>
            </c:numRef>
          </c:cat>
          <c:val>
            <c:numRef>
              <c:f>Sheet1!$B$2:$B$32</c:f>
              <c:numCache>
                <c:formatCode>General</c:formatCode>
                <c:ptCount val="31"/>
                <c:pt idx="0">
                  <c:v>200</c:v>
                </c:pt>
                <c:pt idx="1">
                  <c:v>170</c:v>
                </c:pt>
                <c:pt idx="2">
                  <c:v>150</c:v>
                </c:pt>
                <c:pt idx="3">
                  <c:v>145</c:v>
                </c:pt>
                <c:pt idx="4">
                  <c:v>150</c:v>
                </c:pt>
                <c:pt idx="5">
                  <c:v>190</c:v>
                </c:pt>
                <c:pt idx="6">
                  <c:v>220</c:v>
                </c:pt>
                <c:pt idx="7">
                  <c:v>250</c:v>
                </c:pt>
                <c:pt idx="8">
                  <c:v>310</c:v>
                </c:pt>
                <c:pt idx="9">
                  <c:v>345</c:v>
                </c:pt>
                <c:pt idx="10">
                  <c:v>335</c:v>
                </c:pt>
                <c:pt idx="11">
                  <c:v>325</c:v>
                </c:pt>
                <c:pt idx="12">
                  <c:v>305</c:v>
                </c:pt>
                <c:pt idx="13">
                  <c:v>300</c:v>
                </c:pt>
                <c:pt idx="14">
                  <c:v>300</c:v>
                </c:pt>
                <c:pt idx="15">
                  <c:v>260</c:v>
                </c:pt>
                <c:pt idx="16">
                  <c:v>240</c:v>
                </c:pt>
                <c:pt idx="17">
                  <c:v>210</c:v>
                </c:pt>
                <c:pt idx="18">
                  <c:v>165</c:v>
                </c:pt>
                <c:pt idx="19">
                  <c:v>155</c:v>
                </c:pt>
                <c:pt idx="20">
                  <c:v>150</c:v>
                </c:pt>
                <c:pt idx="21">
                  <c:v>145</c:v>
                </c:pt>
                <c:pt idx="22">
                  <c:v>135</c:v>
                </c:pt>
                <c:pt idx="23">
                  <c:v>125</c:v>
                </c:pt>
                <c:pt idx="24">
                  <c:v>120</c:v>
                </c:pt>
                <c:pt idx="25">
                  <c:v>110</c:v>
                </c:pt>
                <c:pt idx="26">
                  <c:v>100</c:v>
                </c:pt>
                <c:pt idx="27">
                  <c:v>90</c:v>
                </c:pt>
                <c:pt idx="28">
                  <c:v>75</c:v>
                </c:pt>
                <c:pt idx="29">
                  <c:v>55</c:v>
                </c:pt>
                <c:pt idx="30">
                  <c:v>50</c:v>
                </c:pt>
              </c:numCache>
            </c:numRef>
          </c:val>
          <c:smooth val="0"/>
        </c:ser>
        <c:dLbls>
          <c:showLegendKey val="0"/>
          <c:showVal val="0"/>
          <c:showCatName val="0"/>
          <c:showSerName val="0"/>
          <c:showPercent val="0"/>
          <c:showBubbleSize val="0"/>
        </c:dLbls>
        <c:marker val="1"/>
        <c:smooth val="0"/>
        <c:axId val="216162304"/>
        <c:axId val="160594688"/>
      </c:lineChart>
      <c:catAx>
        <c:axId val="216162304"/>
        <c:scaling>
          <c:orientation val="minMax"/>
        </c:scaling>
        <c:delete val="0"/>
        <c:axPos val="b"/>
        <c:numFmt formatCode="General" sourceLinked="1"/>
        <c:majorTickMark val="out"/>
        <c:minorTickMark val="none"/>
        <c:tickLblPos val="nextTo"/>
        <c:crossAx val="160594688"/>
        <c:crosses val="autoZero"/>
        <c:auto val="1"/>
        <c:lblAlgn val="ctr"/>
        <c:lblOffset val="100"/>
        <c:tickLblSkip val="3"/>
        <c:noMultiLvlLbl val="0"/>
      </c:catAx>
      <c:valAx>
        <c:axId val="160594688"/>
        <c:scaling>
          <c:orientation val="minMax"/>
        </c:scaling>
        <c:delete val="0"/>
        <c:axPos val="l"/>
        <c:majorGridlines/>
        <c:numFmt formatCode="General" sourceLinked="1"/>
        <c:majorTickMark val="out"/>
        <c:minorTickMark val="none"/>
        <c:tickLblPos val="nextTo"/>
        <c:crossAx val="2161623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3</Pages>
  <Words>286</Words>
  <Characters>1632</Characters>
  <Application>Microsoft Office Word</Application>
  <DocSecurity>0</DocSecurity>
  <Lines>13</Lines>
  <Paragraphs>3</Paragraphs>
  <ScaleCrop>false</ScaleCrop>
  <Company>University of Central Florida - College of Sciences</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1</cp:revision>
  <dcterms:created xsi:type="dcterms:W3CDTF">2013-06-18T16:42:00Z</dcterms:created>
  <dcterms:modified xsi:type="dcterms:W3CDTF">2013-06-18T16:49:00Z</dcterms:modified>
</cp:coreProperties>
</file>