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9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52BB8" w:rsidRPr="007E3BF3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G.C.3.12.L1</w:t>
            </w:r>
          </w:p>
        </w:tc>
      </w:tr>
      <w:tr w:rsidR="00C757C2" w:rsidRPr="007E3BF3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SS.7.C.3.12 </w:t>
            </w:r>
          </w:p>
        </w:tc>
      </w:tr>
      <w:tr w:rsidR="00C757C2" w:rsidRPr="007E3BF3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C757C2" w:rsidRPr="007E3BF3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Which principle was the focus of the U.S. Supreme Court decision in </w:t>
            </w:r>
            <w:r w:rsidRPr="007E3BF3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Pr="007E3BF3">
              <w:rPr>
                <w:rFonts w:ascii="Times New Roman" w:hAnsi="Times New Roman"/>
                <w:sz w:val="24"/>
                <w:szCs w:val="24"/>
              </w:rPr>
              <w:t xml:space="preserve"> (1966)?</w:t>
            </w:r>
          </w:p>
        </w:tc>
      </w:tr>
      <w:tr w:rsidR="00C757C2" w:rsidRPr="007E3BF3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freedom of expression</w:t>
            </w:r>
          </w:p>
        </w:tc>
      </w:tr>
      <w:tr w:rsidR="00C757C2" w:rsidRPr="007E3BF3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freedom of speech</w:t>
            </w:r>
          </w:p>
        </w:tc>
      </w:tr>
      <w:tr w:rsidR="00C757C2" w:rsidRPr="007E3BF3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self-incrimination </w:t>
            </w:r>
          </w:p>
        </w:tc>
      </w:tr>
      <w:tr w:rsidR="00C757C2" w:rsidRPr="007E3BF3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right to counsel 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52BB8" w:rsidTr="004C08A7">
        <w:tc>
          <w:tcPr>
            <w:tcW w:w="2358" w:type="dxa"/>
            <w:gridSpan w:val="2"/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G.C.3.12.M1</w:t>
            </w:r>
          </w:p>
        </w:tc>
      </w:tr>
      <w:tr w:rsidR="00C52BB8" w:rsidTr="004C08A7">
        <w:tc>
          <w:tcPr>
            <w:tcW w:w="2358" w:type="dxa"/>
            <w:gridSpan w:val="2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SS.7.C.3.12</w:t>
            </w:r>
          </w:p>
        </w:tc>
      </w:tr>
      <w:tr w:rsidR="00C52BB8" w:rsidTr="004C08A7">
        <w:tc>
          <w:tcPr>
            <w:tcW w:w="2358" w:type="dxa"/>
            <w:gridSpan w:val="2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52BB8" w:rsidTr="004C08A7">
        <w:tc>
          <w:tcPr>
            <w:tcW w:w="2358" w:type="dxa"/>
            <w:gridSpan w:val="2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was an outcome of the </w:t>
            </w:r>
            <w:r w:rsidRPr="00163D75">
              <w:rPr>
                <w:rFonts w:ascii="Times New Roman" w:hAnsi="Times New Roman" w:cs="Times New Roman"/>
                <w:sz w:val="24"/>
                <w:szCs w:val="24"/>
              </w:rPr>
              <w:t xml:space="preserve">U.S. Supreme Court decision in </w:t>
            </w:r>
            <w:r w:rsidRPr="00B83A63">
              <w:rPr>
                <w:rFonts w:ascii="Times New Roman" w:hAnsi="Times New Roman" w:cs="Times New Roman"/>
                <w:i/>
                <w:sz w:val="24"/>
                <w:szCs w:val="24"/>
              </w:rPr>
              <w:t>Brown v. Board of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(1954)</w:t>
            </w:r>
            <w:r w:rsidRPr="00163D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52BB8" w:rsidTr="004C08A7"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Administrators may limit the content of student publications.</w:t>
            </w:r>
          </w:p>
        </w:tc>
      </w:tr>
      <w:tr w:rsidR="00C52BB8" w:rsidTr="004C08A7"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Public school districts that segregate deny equal protection.</w:t>
            </w:r>
          </w:p>
        </w:tc>
      </w:tr>
      <w:tr w:rsidR="00C52BB8" w:rsidTr="004C08A7"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Students have a reduced expectation of privacy in school.</w:t>
            </w:r>
          </w:p>
        </w:tc>
      </w:tr>
      <w:tr w:rsidR="00C52BB8" w:rsidTr="004C08A7"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Criminal defendants have the right to an attorney.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G.C.3.12.M2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States must pay for public defenders as a result of which U.S. Supreme Court case?  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District of Columbia v. Heller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(2008)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Hazelwood v. </w:t>
            </w:r>
            <w:proofErr w:type="spellStart"/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Kuhlmeier</w:t>
            </w:r>
            <w:proofErr w:type="spellEnd"/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(1988)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Gideon v. Wainwright 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>(1963)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(1966) 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9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52BB8" w:rsidRPr="003D48FA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C52B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G.C.3.12.M3</w:t>
            </w:r>
          </w:p>
        </w:tc>
      </w:tr>
      <w:tr w:rsidR="00C52BB8" w:rsidRPr="003D48FA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C52BB8" w:rsidRPr="003D48FA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52BB8" w:rsidRPr="003D48FA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Which U.S. Supreme Court decision addresses the need for public schools to balance student</w:t>
            </w:r>
            <w:r>
              <w:rPr>
                <w:rFonts w:ascii="Times New Roman" w:hAnsi="Times New Roman"/>
                <w:sz w:val="24"/>
                <w:szCs w:val="24"/>
              </w:rPr>
              <w:t>s’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rights with principals’ responsibilities?</w:t>
            </w:r>
          </w:p>
        </w:tc>
      </w:tr>
      <w:tr w:rsidR="00C52BB8" w:rsidRPr="003D48FA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 xml:space="preserve">Hazelwood  v. </w:t>
            </w:r>
            <w:proofErr w:type="spellStart"/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Kuhlmeier</w:t>
            </w:r>
            <w:proofErr w:type="spellEnd"/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(1988) </w:t>
            </w:r>
          </w:p>
        </w:tc>
      </w:tr>
      <w:tr w:rsidR="00C52BB8" w:rsidRPr="003D48FA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Gideon v. Wainwright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(1963)</w:t>
            </w:r>
          </w:p>
        </w:tc>
      </w:tr>
      <w:tr w:rsidR="00C52BB8" w:rsidRPr="003D48FA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Plessy</w:t>
            </w:r>
            <w:proofErr w:type="spellEnd"/>
            <w:r w:rsidRPr="003D48FA">
              <w:rPr>
                <w:rFonts w:ascii="Times New Roman" w:hAnsi="Times New Roman"/>
                <w:i/>
                <w:sz w:val="24"/>
                <w:szCs w:val="24"/>
              </w:rPr>
              <w:t xml:space="preserve"> v. Ferguson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(1896) </w:t>
            </w:r>
          </w:p>
        </w:tc>
      </w:tr>
      <w:tr w:rsidR="00C52BB8" w:rsidRPr="003D48FA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Bush v. Gore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(2000)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G.C.3.12.H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Juveniles accused of crimes continue to be afforded many of the same due process rights as adults as a result of which U.S. Supreme Court case?  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District of Columbia v. Heller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(2008)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Hazelwood v. </w:t>
            </w:r>
            <w:proofErr w:type="spellStart"/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Kuhlmeier</w:t>
            </w:r>
            <w:proofErr w:type="spellEnd"/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(1988) 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In re Greene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(1930) 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In re </w:t>
            </w:r>
            <w:proofErr w:type="spellStart"/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Gault</w:t>
            </w:r>
            <w:proofErr w:type="spellEnd"/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(1967) 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6BFA" w:rsidRPr="00C757C2" w:rsidRDefault="003C6BFA">
      <w:pPr>
        <w:rPr>
          <w:rFonts w:ascii="Times New Roman" w:hAnsi="Times New Roman" w:cs="Times New Roman"/>
          <w:sz w:val="24"/>
          <w:szCs w:val="24"/>
        </w:rPr>
      </w:pPr>
    </w:p>
    <w:sectPr w:rsidR="003C6BFA" w:rsidRPr="00C757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2BB8">
      <w:pPr>
        <w:spacing w:after="0" w:line="240" w:lineRule="auto"/>
      </w:pPr>
      <w:r>
        <w:separator/>
      </w:r>
    </w:p>
  </w:endnote>
  <w:endnote w:type="continuationSeparator" w:id="0">
    <w:p w:rsidR="00000000" w:rsidRDefault="00C5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069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4B8" w:rsidRDefault="00C75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4B8" w:rsidRDefault="00C52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2BB8">
      <w:pPr>
        <w:spacing w:after="0" w:line="240" w:lineRule="auto"/>
      </w:pPr>
      <w:r>
        <w:separator/>
      </w:r>
    </w:p>
  </w:footnote>
  <w:footnote w:type="continuationSeparator" w:id="0">
    <w:p w:rsidR="00000000" w:rsidRDefault="00C52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2"/>
    <w:rsid w:val="003C6BFA"/>
    <w:rsid w:val="00C52BB8"/>
    <w:rsid w:val="00C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2"/>
  </w:style>
  <w:style w:type="table" w:customStyle="1" w:styleId="TableGrid41">
    <w:name w:val="Table Grid41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9">
    <w:name w:val="Table Grid89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">
    <w:name w:val="Table Grid90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2"/>
  </w:style>
  <w:style w:type="table" w:customStyle="1" w:styleId="TableGrid41">
    <w:name w:val="Table Grid41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9">
    <w:name w:val="Table Grid89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">
    <w:name w:val="Table Grid90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>University of Central Florida - College of Sciences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2013-06-18T19:01:00Z</dcterms:created>
  <dcterms:modified xsi:type="dcterms:W3CDTF">2013-06-18T19:01:00Z</dcterms:modified>
</cp:coreProperties>
</file>