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E5" w:rsidRDefault="003461E5">
      <w:pPr>
        <w:rPr>
          <w:rFonts w:ascii="Times New Roman" w:hAnsi="Times New Roman" w:cs="Times New Roman"/>
          <w:sz w:val="24"/>
          <w:szCs w:val="24"/>
        </w:rPr>
      </w:pPr>
    </w:p>
    <w:p w:rsidR="00D1613F" w:rsidRDefault="00D1613F" w:rsidP="00D161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2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501A74" w:rsidRPr="00B52949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74" w:rsidRPr="00B52949" w:rsidRDefault="00501A7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74" w:rsidRPr="00B52949" w:rsidRDefault="00501A7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G.C.3.7.L1</w:t>
            </w:r>
          </w:p>
        </w:tc>
      </w:tr>
      <w:tr w:rsidR="00D1613F" w:rsidRPr="00B52949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SS.7.C.3.7</w:t>
            </w:r>
          </w:p>
        </w:tc>
      </w:tr>
      <w:tr w:rsidR="00D1613F" w:rsidRPr="00B52949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D1613F" w:rsidRPr="00B52949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 xml:space="preserve">How did the passage of the Voting Rights of 1965 impact political participation?  </w:t>
            </w:r>
          </w:p>
        </w:tc>
      </w:tr>
      <w:tr w:rsidR="00D1613F" w:rsidRPr="00B52949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All persons who passed a literacy test could now vote.</w:t>
            </w:r>
          </w:p>
        </w:tc>
      </w:tr>
      <w:tr w:rsidR="00D1613F" w:rsidRPr="00B52949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All children of foreign citizens could now vote.</w:t>
            </w:r>
          </w:p>
        </w:tc>
      </w:tr>
      <w:tr w:rsidR="00D1613F" w:rsidRPr="00B52949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African-</w:t>
            </w:r>
            <w:r w:rsidRPr="00B52949">
              <w:rPr>
                <w:rFonts w:ascii="Times New Roman" w:hAnsi="Times New Roman"/>
                <w:sz w:val="24"/>
                <w:szCs w:val="24"/>
              </w:rPr>
              <w:t>Americans could now vote.</w:t>
            </w:r>
          </w:p>
        </w:tc>
      </w:tr>
      <w:tr w:rsidR="00D1613F" w:rsidRPr="00B52949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 xml:space="preserve">All women could now vote.  </w:t>
            </w:r>
          </w:p>
        </w:tc>
      </w:tr>
    </w:tbl>
    <w:p w:rsidR="00D1613F" w:rsidRPr="004D4E81" w:rsidRDefault="00D1613F" w:rsidP="00D1613F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0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501A74" w:rsidRPr="004D4E81" w:rsidTr="00F41AF7">
        <w:tc>
          <w:tcPr>
            <w:tcW w:w="2358" w:type="dxa"/>
            <w:gridSpan w:val="2"/>
          </w:tcPr>
          <w:p w:rsidR="00501A74" w:rsidRPr="00B52949" w:rsidRDefault="00501A7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01A74" w:rsidRPr="00B52949" w:rsidRDefault="00501A7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G.C.3.7.M1</w:t>
            </w:r>
          </w:p>
        </w:tc>
      </w:tr>
      <w:tr w:rsidR="00501A74" w:rsidRPr="004D4E81" w:rsidTr="00F41AF7">
        <w:tc>
          <w:tcPr>
            <w:tcW w:w="2358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SS.7.C.3.7</w:t>
            </w:r>
          </w:p>
        </w:tc>
      </w:tr>
      <w:tr w:rsidR="00501A74" w:rsidRPr="004D4E81" w:rsidTr="00F41AF7">
        <w:tc>
          <w:tcPr>
            <w:tcW w:w="2358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01A74" w:rsidRPr="004D4E81" w:rsidTr="00F41AF7">
        <w:tc>
          <w:tcPr>
            <w:tcW w:w="2358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passage below describes a U.S. Supreme Court decision. </w:t>
            </w: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70789" wp14:editId="6358D60E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76200</wp:posOffset>
                      </wp:positionV>
                      <wp:extent cx="2374265" cy="1403985"/>
                      <wp:effectExtent l="0" t="0" r="22860" b="2095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A74" w:rsidRPr="00214BCD" w:rsidRDefault="00501A74" w:rsidP="00D1613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214BCD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In 1940, the Texas Democratic Party refused to give an African-American man a ballot to select candidates to run for Congress and governor.  </w:t>
                                  </w:r>
                                </w:p>
                                <w:p w:rsidR="00501A74" w:rsidRPr="00214BCD" w:rsidRDefault="00501A74" w:rsidP="00D1613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  <w:p w:rsidR="00501A74" w:rsidRPr="00214BCD" w:rsidRDefault="00501A74" w:rsidP="00D1613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214BCD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In finding this action unconstitutional, the U.S. Supreme Court stated “…this Court is not constrained to follow a previous decision which…, involves the application of a constitutional principle, rather than an interpretation of the Constitution to evolve the principle itself.”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.7pt;margin-top: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YHJAIAAEY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">
                      <v:textbox style="mso-fit-shape-to-text:t">
                        <w:txbxContent>
                          <w:p w:rsidR="00501A74" w:rsidRPr="00214BCD" w:rsidRDefault="00501A74" w:rsidP="00D1613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4BC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 1940, the Texas Democratic Party refused to give an African-American man a ballot to select candidates to run for Congress and governor.  </w:t>
                            </w:r>
                          </w:p>
                          <w:p w:rsidR="00501A74" w:rsidRPr="00214BCD" w:rsidRDefault="00501A74" w:rsidP="00D1613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1A74" w:rsidRPr="00214BCD" w:rsidRDefault="00501A74" w:rsidP="00D1613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4BC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 finding this action unconstitutional, the U.S. Supreme Court stated “…this Court is not constrained to follow a previous decision which…, involves the application of a constitutional principle, rather than an interpretation of the Constitution to evolve the principle itself.”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4E81">
              <w:rPr>
                <w:rFonts w:ascii="Times New Roman" w:hAnsi="Times New Roman" w:cs="Times New Roman"/>
                <w:sz w:val="20"/>
                <w:szCs w:val="20"/>
              </w:rPr>
              <w:t xml:space="preserve">Source: </w:t>
            </w:r>
            <w:r w:rsidRPr="004D4E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Smith v. </w:t>
            </w:r>
            <w:proofErr w:type="spellStart"/>
            <w:r w:rsidRPr="004D4E81">
              <w:rPr>
                <w:rFonts w:ascii="Times New Roman" w:hAnsi="Times New Roman" w:cs="Times New Roman"/>
                <w:i/>
                <w:sz w:val="20"/>
                <w:szCs w:val="20"/>
              </w:rPr>
              <w:t>Allwright</w:t>
            </w:r>
            <w:proofErr w:type="spellEnd"/>
            <w:r w:rsidRPr="004D4E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4E81">
              <w:rPr>
                <w:rFonts w:ascii="Times New Roman" w:hAnsi="Times New Roman" w:cs="Times New Roman"/>
                <w:sz w:val="20"/>
                <w:szCs w:val="20"/>
              </w:rPr>
              <w:t>(1944)</w:t>
            </w: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According to the passage, what did this U.S. Supreme Court decision illustrate?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U.S. Supreme Court expanded voting rights through Voting Rights Act interpretation.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U.S. Supreme Court expanded voting rights through amendment interpretation. 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U.S. Supreme Court limited voting rights through amendment interpretation.  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U.S. Supreme Court limited voting rights through the Voting Rights </w:t>
            </w:r>
            <w:r w:rsidRPr="004D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Act.</w:t>
            </w:r>
          </w:p>
        </w:tc>
      </w:tr>
    </w:tbl>
    <w:p w:rsidR="00D1613F" w:rsidRPr="004D4E81" w:rsidRDefault="00D1613F" w:rsidP="00D1613F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501A74" w:rsidRPr="004D4E81" w:rsidTr="00F41AF7">
        <w:tc>
          <w:tcPr>
            <w:tcW w:w="2358" w:type="dxa"/>
            <w:gridSpan w:val="2"/>
          </w:tcPr>
          <w:p w:rsidR="00501A74" w:rsidRPr="00B52949" w:rsidRDefault="00501A7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01A74" w:rsidRPr="00B52949" w:rsidRDefault="00501A74" w:rsidP="00501A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G.C.3.7.M2</w:t>
            </w:r>
          </w:p>
        </w:tc>
      </w:tr>
      <w:tr w:rsidR="00501A74" w:rsidRPr="004D4E81" w:rsidTr="00F41AF7">
        <w:tc>
          <w:tcPr>
            <w:tcW w:w="2358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SS.7.C.3.7</w:t>
            </w:r>
          </w:p>
        </w:tc>
      </w:tr>
      <w:tr w:rsidR="00501A74" w:rsidRPr="004D4E81" w:rsidTr="00F41AF7">
        <w:tc>
          <w:tcPr>
            <w:tcW w:w="2358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01A74" w:rsidRPr="004D4E81" w:rsidTr="00F41AF7">
        <w:tc>
          <w:tcPr>
            <w:tcW w:w="2358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How are 14</w:t>
            </w:r>
            <w:r w:rsidRPr="004D4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 Amendment due process protections related to the Civil Rights Act of 1968?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Congress may not enact discriminatory housing statutes.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Congress may not enact discriminatory employment policies.  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State legislatures may not enact discriminatory housing statutes.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State legislatures may not enact discriminatory employment policies.  </w:t>
            </w:r>
          </w:p>
        </w:tc>
      </w:tr>
    </w:tbl>
    <w:p w:rsidR="00D1613F" w:rsidRPr="004D4E81" w:rsidRDefault="00D1613F" w:rsidP="00D1613F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501A74" w:rsidRPr="004D4E81" w:rsidTr="00F41AF7">
        <w:tc>
          <w:tcPr>
            <w:tcW w:w="2358" w:type="dxa"/>
            <w:gridSpan w:val="2"/>
          </w:tcPr>
          <w:p w:rsidR="00501A74" w:rsidRPr="00B52949" w:rsidRDefault="00501A7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01A74" w:rsidRPr="00B52949" w:rsidRDefault="00501A74" w:rsidP="00501A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G.C.3.7.M3</w:t>
            </w:r>
          </w:p>
        </w:tc>
      </w:tr>
      <w:tr w:rsidR="00501A74" w:rsidRPr="004D4E81" w:rsidTr="00F41AF7">
        <w:tc>
          <w:tcPr>
            <w:tcW w:w="2358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SS.7.C.3.7</w:t>
            </w:r>
          </w:p>
        </w:tc>
      </w:tr>
      <w:tr w:rsidR="00501A74" w:rsidRPr="004D4E81" w:rsidTr="00F41AF7">
        <w:tc>
          <w:tcPr>
            <w:tcW w:w="2358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01A74" w:rsidRPr="004D4E81" w:rsidTr="00F41AF7">
        <w:tc>
          <w:tcPr>
            <w:tcW w:w="2358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photograph below illustrates an event in U.S. history.  </w:t>
            </w: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noProof/>
              </w:rPr>
              <w:drawing>
                <wp:inline distT="0" distB="0" distL="0" distR="0" wp14:anchorId="0D8F27ED" wp14:editId="47FB590F">
                  <wp:extent cx="3571875" cy="4572000"/>
                  <wp:effectExtent l="0" t="0" r="9525" b="0"/>
                  <wp:docPr id="1" name="Picture 1" descr="http://upload.wikimedia.org/wikipedia/commons/thumb/a/a4/Bayard_Rustin_NYWTS_3.jpg/375px-Bayard_Rustin_NYWTS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a/a4/Bayard_Rustin_NYWTS_3.jpg/375px-Bayard_Rustin_NYWTS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4E81"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 </w:t>
            </w: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What was Congress’ response to the social movement symbolized in the photograph?   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decreased commerce opportunities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increased economic opportunities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increased religious opportunities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decreased military opportunities</w:t>
            </w:r>
          </w:p>
        </w:tc>
      </w:tr>
    </w:tbl>
    <w:p w:rsidR="00D1613F" w:rsidRPr="004D4E81" w:rsidRDefault="00D1613F" w:rsidP="00D1613F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555"/>
        <w:gridCol w:w="8244"/>
      </w:tblGrid>
      <w:tr w:rsidR="00501A74" w:rsidRPr="004D4E81" w:rsidTr="00501A74">
        <w:tc>
          <w:tcPr>
            <w:tcW w:w="1333" w:type="dxa"/>
            <w:gridSpan w:val="2"/>
          </w:tcPr>
          <w:p w:rsidR="00501A74" w:rsidRPr="00B52949" w:rsidRDefault="00501A7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8243" w:type="dxa"/>
          </w:tcPr>
          <w:p w:rsidR="00501A74" w:rsidRPr="00B52949" w:rsidRDefault="00501A7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G.C.3.7.H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A74" w:rsidRPr="004D4E81" w:rsidTr="00501A74">
        <w:tc>
          <w:tcPr>
            <w:tcW w:w="1333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8243" w:type="dxa"/>
          </w:tcPr>
          <w:p w:rsidR="00501A74" w:rsidRPr="004D4E81" w:rsidRDefault="00501A74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SS.7.C.3.7</w:t>
            </w:r>
          </w:p>
        </w:tc>
      </w:tr>
      <w:tr w:rsidR="00501A74" w:rsidRPr="004D4E81" w:rsidTr="00501A74">
        <w:tc>
          <w:tcPr>
            <w:tcW w:w="1333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8243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501A74" w:rsidRPr="004D4E81" w:rsidTr="00501A74">
        <w:tc>
          <w:tcPr>
            <w:tcW w:w="1333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243" w:type="dxa"/>
          </w:tcPr>
          <w:p w:rsidR="00501A74" w:rsidRPr="004D4E81" w:rsidRDefault="00501A74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graph below describes voter registration in Florida among blacks and whites. </w:t>
            </w:r>
          </w:p>
          <w:p w:rsidR="00501A74" w:rsidRPr="004D4E81" w:rsidRDefault="00501A74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noProof/>
                <w:u w:val="single"/>
              </w:rPr>
              <w:drawing>
                <wp:inline distT="0" distB="0" distL="0" distR="0" wp14:anchorId="4612DE76" wp14:editId="5CED3898">
                  <wp:extent cx="5179326" cy="2825086"/>
                  <wp:effectExtent l="0" t="0" r="21590" b="1397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501A74" w:rsidRPr="004D4E81" w:rsidRDefault="00501A74" w:rsidP="00F41AF7">
            <w:pPr>
              <w:tabs>
                <w:tab w:val="center" w:pos="350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tabs>
                <w:tab w:val="center" w:pos="3501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4E81">
              <w:rPr>
                <w:rFonts w:ascii="Times New Roman" w:eastAsia="Times New Roman" w:hAnsi="Times New Roman" w:cs="Times New Roman"/>
                <w:sz w:val="20"/>
                <w:szCs w:val="20"/>
              </w:rPr>
              <w:t>Source: Adapted from Florida Division of Elections</w:t>
            </w:r>
          </w:p>
          <w:p w:rsidR="00501A74" w:rsidRPr="004D4E81" w:rsidRDefault="00501A74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Based on the graph, what conclusion can be drawn about voter turnout in Florida since the Voting Rights Act of 1965 was passed?</w:t>
            </w:r>
          </w:p>
        </w:tc>
      </w:tr>
      <w:tr w:rsidR="00501A74" w:rsidRPr="004D4E81" w:rsidTr="00501A74">
        <w:tc>
          <w:tcPr>
            <w:tcW w:w="775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Voter turnout among blacks has decreased.</w:t>
            </w:r>
          </w:p>
        </w:tc>
      </w:tr>
      <w:tr w:rsidR="00501A74" w:rsidRPr="004D4E81" w:rsidTr="00501A74">
        <w:tc>
          <w:tcPr>
            <w:tcW w:w="775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5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Voter turnout among whites has decreased.  </w:t>
            </w:r>
          </w:p>
        </w:tc>
      </w:tr>
      <w:tr w:rsidR="00501A74" w:rsidRPr="004D4E81" w:rsidTr="00501A74">
        <w:tc>
          <w:tcPr>
            <w:tcW w:w="775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5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243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Voter turnout among blacks has increased.  </w:t>
            </w:r>
          </w:p>
        </w:tc>
      </w:tr>
      <w:tr w:rsidR="00501A74" w:rsidRPr="004D4E81" w:rsidTr="00501A74">
        <w:tc>
          <w:tcPr>
            <w:tcW w:w="775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5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Voter turnout among whites has increased.</w:t>
            </w:r>
          </w:p>
        </w:tc>
      </w:tr>
    </w:tbl>
    <w:p w:rsidR="00D1613F" w:rsidRPr="00D1613F" w:rsidRDefault="00D1613F">
      <w:pPr>
        <w:rPr>
          <w:rFonts w:ascii="Times New Roman" w:hAnsi="Times New Roman" w:cs="Times New Roman"/>
          <w:sz w:val="24"/>
          <w:szCs w:val="24"/>
        </w:rPr>
      </w:pPr>
    </w:p>
    <w:sectPr w:rsidR="00D1613F" w:rsidRPr="00D16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3F"/>
    <w:rsid w:val="003461E5"/>
    <w:rsid w:val="00501A74"/>
    <w:rsid w:val="00D1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D1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D16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D1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D16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13908938466025"/>
          <c:y val="4.0089363829521309E-2"/>
          <c:w val="0.71189851268591431"/>
          <c:h val="0.7296647294088238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White</c:v>
                </c:pt>
              </c:strCache>
            </c:strRef>
          </c:tx>
          <c:marker>
            <c:symbol val="none"/>
          </c:marker>
          <c:cat>
            <c:numRef>
              <c:f>Sheet1!$A$2:$A$31</c:f>
              <c:numCache>
                <c:formatCode>General</c:formatCode>
                <c:ptCount val="30"/>
                <c:pt idx="0">
                  <c:v>1946</c:v>
                </c:pt>
                <c:pt idx="1">
                  <c:v>1948</c:v>
                </c:pt>
                <c:pt idx="2">
                  <c:v>1950</c:v>
                </c:pt>
                <c:pt idx="3">
                  <c:v>1952</c:v>
                </c:pt>
                <c:pt idx="4">
                  <c:v>1954</c:v>
                </c:pt>
                <c:pt idx="5">
                  <c:v>1956</c:v>
                </c:pt>
                <c:pt idx="6">
                  <c:v>1958</c:v>
                </c:pt>
                <c:pt idx="7">
                  <c:v>1960</c:v>
                </c:pt>
                <c:pt idx="8">
                  <c:v>1962</c:v>
                </c:pt>
                <c:pt idx="9">
                  <c:v>1964</c:v>
                </c:pt>
                <c:pt idx="10">
                  <c:v>1966</c:v>
                </c:pt>
                <c:pt idx="11">
                  <c:v>1968</c:v>
                </c:pt>
                <c:pt idx="12">
                  <c:v>1970</c:v>
                </c:pt>
                <c:pt idx="13">
                  <c:v>1972</c:v>
                </c:pt>
                <c:pt idx="14">
                  <c:v>1974</c:v>
                </c:pt>
                <c:pt idx="15">
                  <c:v>1976</c:v>
                </c:pt>
                <c:pt idx="16">
                  <c:v>1978</c:v>
                </c:pt>
                <c:pt idx="17">
                  <c:v>1980</c:v>
                </c:pt>
                <c:pt idx="18">
                  <c:v>1982</c:v>
                </c:pt>
                <c:pt idx="19">
                  <c:v>1984</c:v>
                </c:pt>
                <c:pt idx="20">
                  <c:v>1986</c:v>
                </c:pt>
                <c:pt idx="21">
                  <c:v>1988</c:v>
                </c:pt>
                <c:pt idx="22">
                  <c:v>1990</c:v>
                </c:pt>
                <c:pt idx="23">
                  <c:v>1992</c:v>
                </c:pt>
                <c:pt idx="24">
                  <c:v>1994</c:v>
                </c:pt>
                <c:pt idx="25">
                  <c:v>1996</c:v>
                </c:pt>
                <c:pt idx="26">
                  <c:v>1998</c:v>
                </c:pt>
                <c:pt idx="27">
                  <c:v>2000</c:v>
                </c:pt>
                <c:pt idx="28">
                  <c:v>2002</c:v>
                </c:pt>
                <c:pt idx="29">
                  <c:v>2004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0">
                  <c:v>69</c:v>
                </c:pt>
                <c:pt idx="1">
                  <c:v>75</c:v>
                </c:pt>
                <c:pt idx="2">
                  <c:v>65</c:v>
                </c:pt>
                <c:pt idx="3">
                  <c:v>64</c:v>
                </c:pt>
                <c:pt idx="4">
                  <c:v>63</c:v>
                </c:pt>
                <c:pt idx="5">
                  <c:v>61</c:v>
                </c:pt>
                <c:pt idx="6">
                  <c:v>61</c:v>
                </c:pt>
                <c:pt idx="7">
                  <c:v>61</c:v>
                </c:pt>
                <c:pt idx="8">
                  <c:v>64</c:v>
                </c:pt>
                <c:pt idx="9">
                  <c:v>63</c:v>
                </c:pt>
                <c:pt idx="10">
                  <c:v>64</c:v>
                </c:pt>
                <c:pt idx="11">
                  <c:v>60</c:v>
                </c:pt>
                <c:pt idx="12">
                  <c:v>60</c:v>
                </c:pt>
                <c:pt idx="13">
                  <c:v>63</c:v>
                </c:pt>
                <c:pt idx="14">
                  <c:v>62</c:v>
                </c:pt>
                <c:pt idx="15">
                  <c:v>63</c:v>
                </c:pt>
                <c:pt idx="16">
                  <c:v>60</c:v>
                </c:pt>
                <c:pt idx="17">
                  <c:v>63</c:v>
                </c:pt>
                <c:pt idx="18">
                  <c:v>59</c:v>
                </c:pt>
                <c:pt idx="19">
                  <c:v>63</c:v>
                </c:pt>
                <c:pt idx="20">
                  <c:v>60</c:v>
                </c:pt>
                <c:pt idx="21">
                  <c:v>62</c:v>
                </c:pt>
                <c:pt idx="22">
                  <c:v>58</c:v>
                </c:pt>
                <c:pt idx="23">
                  <c:v>60</c:v>
                </c:pt>
                <c:pt idx="24">
                  <c:v>65</c:v>
                </c:pt>
                <c:pt idx="25">
                  <c:v>70</c:v>
                </c:pt>
                <c:pt idx="26">
                  <c:v>68</c:v>
                </c:pt>
                <c:pt idx="27">
                  <c:v>69</c:v>
                </c:pt>
                <c:pt idx="28">
                  <c:v>70</c:v>
                </c:pt>
                <c:pt idx="29">
                  <c:v>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Black</c:v>
                </c:pt>
              </c:strCache>
            </c:strRef>
          </c:tx>
          <c:marker>
            <c:symbol val="none"/>
          </c:marker>
          <c:cat>
            <c:numRef>
              <c:f>Sheet1!$A$2:$A$31</c:f>
              <c:numCache>
                <c:formatCode>General</c:formatCode>
                <c:ptCount val="30"/>
                <c:pt idx="0">
                  <c:v>1946</c:v>
                </c:pt>
                <c:pt idx="1">
                  <c:v>1948</c:v>
                </c:pt>
                <c:pt idx="2">
                  <c:v>1950</c:v>
                </c:pt>
                <c:pt idx="3">
                  <c:v>1952</c:v>
                </c:pt>
                <c:pt idx="4">
                  <c:v>1954</c:v>
                </c:pt>
                <c:pt idx="5">
                  <c:v>1956</c:v>
                </c:pt>
                <c:pt idx="6">
                  <c:v>1958</c:v>
                </c:pt>
                <c:pt idx="7">
                  <c:v>1960</c:v>
                </c:pt>
                <c:pt idx="8">
                  <c:v>1962</c:v>
                </c:pt>
                <c:pt idx="9">
                  <c:v>1964</c:v>
                </c:pt>
                <c:pt idx="10">
                  <c:v>1966</c:v>
                </c:pt>
                <c:pt idx="11">
                  <c:v>1968</c:v>
                </c:pt>
                <c:pt idx="12">
                  <c:v>1970</c:v>
                </c:pt>
                <c:pt idx="13">
                  <c:v>1972</c:v>
                </c:pt>
                <c:pt idx="14">
                  <c:v>1974</c:v>
                </c:pt>
                <c:pt idx="15">
                  <c:v>1976</c:v>
                </c:pt>
                <c:pt idx="16">
                  <c:v>1978</c:v>
                </c:pt>
                <c:pt idx="17">
                  <c:v>1980</c:v>
                </c:pt>
                <c:pt idx="18">
                  <c:v>1982</c:v>
                </c:pt>
                <c:pt idx="19">
                  <c:v>1984</c:v>
                </c:pt>
                <c:pt idx="20">
                  <c:v>1986</c:v>
                </c:pt>
                <c:pt idx="21">
                  <c:v>1988</c:v>
                </c:pt>
                <c:pt idx="22">
                  <c:v>1990</c:v>
                </c:pt>
                <c:pt idx="23">
                  <c:v>1992</c:v>
                </c:pt>
                <c:pt idx="24">
                  <c:v>1994</c:v>
                </c:pt>
                <c:pt idx="25">
                  <c:v>1996</c:v>
                </c:pt>
                <c:pt idx="26">
                  <c:v>1998</c:v>
                </c:pt>
                <c:pt idx="27">
                  <c:v>2000</c:v>
                </c:pt>
                <c:pt idx="28">
                  <c:v>2002</c:v>
                </c:pt>
                <c:pt idx="29">
                  <c:v>2004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0">
                  <c:v>15</c:v>
                </c:pt>
                <c:pt idx="1">
                  <c:v>25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33</c:v>
                </c:pt>
                <c:pt idx="6">
                  <c:v>33</c:v>
                </c:pt>
                <c:pt idx="7">
                  <c:v>35</c:v>
                </c:pt>
                <c:pt idx="8">
                  <c:v>38</c:v>
                </c:pt>
                <c:pt idx="9">
                  <c:v>50</c:v>
                </c:pt>
                <c:pt idx="10">
                  <c:v>60</c:v>
                </c:pt>
                <c:pt idx="11">
                  <c:v>58</c:v>
                </c:pt>
                <c:pt idx="12">
                  <c:v>50</c:v>
                </c:pt>
                <c:pt idx="13">
                  <c:v>53</c:v>
                </c:pt>
                <c:pt idx="14">
                  <c:v>52</c:v>
                </c:pt>
                <c:pt idx="15">
                  <c:v>55</c:v>
                </c:pt>
                <c:pt idx="16">
                  <c:v>54</c:v>
                </c:pt>
                <c:pt idx="17">
                  <c:v>55</c:v>
                </c:pt>
                <c:pt idx="18">
                  <c:v>56</c:v>
                </c:pt>
                <c:pt idx="19">
                  <c:v>61</c:v>
                </c:pt>
                <c:pt idx="20">
                  <c:v>56</c:v>
                </c:pt>
                <c:pt idx="21">
                  <c:v>53</c:v>
                </c:pt>
                <c:pt idx="22">
                  <c:v>48</c:v>
                </c:pt>
                <c:pt idx="23">
                  <c:v>47</c:v>
                </c:pt>
                <c:pt idx="24">
                  <c:v>46</c:v>
                </c:pt>
                <c:pt idx="25">
                  <c:v>62</c:v>
                </c:pt>
                <c:pt idx="26">
                  <c:v>63</c:v>
                </c:pt>
                <c:pt idx="27">
                  <c:v>60</c:v>
                </c:pt>
                <c:pt idx="28">
                  <c:v>64</c:v>
                </c:pt>
                <c:pt idx="29">
                  <c:v>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042944"/>
        <c:axId val="160592960"/>
      </c:lineChart>
      <c:dateAx>
        <c:axId val="209042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60592960"/>
        <c:crosses val="autoZero"/>
        <c:auto val="0"/>
        <c:lblOffset val="100"/>
        <c:baseTimeUnit val="days"/>
        <c:majorUnit val="4"/>
      </c:dateAx>
      <c:valAx>
        <c:axId val="160592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9042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32870370370373"/>
          <c:y val="0.40443288338957628"/>
          <c:w val="0.1267824074074074"/>
          <c:h val="0.16732470941132357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0.83333</cdr:x>
      <cdr:y>0.34542</cdr:y>
    </cdr:from>
    <cdr:to>
      <cdr:x>1</cdr:x>
      <cdr:y>0.63113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14616" y="110546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  </a:t>
          </a:r>
          <a:r>
            <a:rPr lang="en-US" sz="1100" baseline="0"/>
            <a:t> </a:t>
          </a:r>
          <a:r>
            <a:rPr lang="en-US" sz="1100"/>
            <a:t>Race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353</Words>
  <Characters>2013</Characters>
  <Application>Microsoft Office Word</Application>
  <DocSecurity>0</DocSecurity>
  <Lines>16</Lines>
  <Paragraphs>4</Paragraphs>
  <ScaleCrop>false</ScaleCrop>
  <Company>University of Central Florida - College of Sciences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2</cp:revision>
  <dcterms:created xsi:type="dcterms:W3CDTF">2013-06-18T16:19:00Z</dcterms:created>
  <dcterms:modified xsi:type="dcterms:W3CDTF">2013-06-18T16:23:00Z</dcterms:modified>
</cp:coreProperties>
</file>